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="240" w:lineRule="auto"/>
        <w:jc w:val="center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PRAVIDLA ZAMĚSTNANECKÉ PŘÍJEZDOVÉ MOBILITY V RÁMCI PROGRAMU NA PODPORU STRATEGICKÉHO ŘÍZENÍ TUL PRO ROK 2023 - 2025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Tento dokument představuje souhrn pravidel pro realizaci příjezdu akademických pracovníků ze zahraničních partnerských institucí financovaných z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Programu na podporu strategického řízení (dále jen PPSŘ).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MOBILITY OPRÁVNĚNÉ K FINANCOVÁNÍ (ČI SPOLUFINANCOVÁNÍ) V RÁMCI PPSŘ – INTERNACIONALIZACE je možné realizovat V RÁMCI TĚCHTO OPATŘENÍ: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C-1 -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Rozvoj globálních kompetencí studentů a pracovníků TUL podpora mezinárodních vzdělávacích aktivit a činností zaměstnanců TUL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C-4 Vytváření mezinárodního prostředí na TUL a propagace v zahraničí ke zvýšení zájmu o studium a počtu zahraničních studentů v českých a anglických programech.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Konkrétní typ mobility musí být v souladu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 naplněním vymezených indikátorů opatření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C-1 a C-4 PPSŘ označeny v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Žádosti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(seznam všech indikátorů je přílohou tohoto dokumentu).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Pravidla se netýkají mobilit financovaných v rámci programu Erasmus+ Kreditová mobilita a dalších zdrojů mimo PPSŘ.</w:t>
      </w:r>
    </w:p>
    <w:p w:rsidR="00000000" w:rsidDel="00000000" w:rsidP="00000000" w:rsidRDefault="00000000" w:rsidRPr="00000000" w14:paraId="0000000B">
      <w:pPr>
        <w:spacing w:before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REALIZACE MOBILIT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Dokumentace k příjezdovým mobilitám a výše nároku na financování v rámci PPSŘ jsou: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připraveny garantem příjezdové mobility, příp. osobou v součinnosti s odpovědnými osobami na fakultě,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schvalovány na Zahraničním oddělení a prorektorkou pro zahraniční vztahy.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Fakulta (pracoviště) odpovídá za: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výběr mobility, která odpovídá naplnění požadavků a indikátorů PPSŘ,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řádné vyplnění žádosti o mobilitu před její realizací a dodání všech relevantních podkladů vedoucí/mu pracoviště ke schválení žádosti, její předání prorektorce nebo Zahraničnímu oddělení,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řádného vyplnění dokladů k příjezdu, zejm. nepojmenové smlouvy a návrhu na přijetí zhr. odborníka a vyúčtování z čísla projektu PPSŘ,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doložení dokladů spojených s mobilitou k vyúčtování mobility a nákladů s ní spojenými v rámci nepojmenované smlouvy (včetně cíle a programu mobility),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vyplnění souhlasu s pořízením fotografií nebo videí v případě dobrovolného předání materiálu pro prezentaci TUL na propagačních materiálech,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vyplnění formuláře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závěrečné zprávy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kde bude popsán přínos a aktivity, které naváží na výsledky mobility (např. podpis partnerské smlouvy, spolupráce na vzdělávacích projektech, výuce, společných vzdělávacích programech).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evidence všech údajů k uskutečněnému výjezdu do platformy IS mobility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https://mobility.tul.cz/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poskytnutí podkladů pro vyhodnocení mobility v závěrečné zprávě čerpání PPSŘ v daném roce.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Oddělení ZHR zajišťuje: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evidenci žádostí o finanční podporu z prostředků PPSŘ a výběr zájemců o mobilitu a rozhodnutí o poskytnuté výši financování,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správu rozpočtu projektu PPSŘ  - aktivity Internacionalizace mobility,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podporu fakultám při finančním zpracování výjezdů,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schvalovací proces žádosti,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evidenci závěrečných zpráv, správa informací pro další směřování součástí TUL v rámci internacionalizace v součinnosti s fakultami,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ZHR si vyhrazuje právo krátit požadované finanční prostředky v souladu s platnými směrnicemi TUL a na základě interního posouzení s ohledem na naplňování potřeb PPSŘ.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Financování zaměstnaneckých příjezdových mobilit bude probíhat za níže uvedených podmínek: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financovány budou dny mobility, které zahrnují způsobilé aktivity v rámci PPSŘ, tedy výukovou činnost, příp. počet dní schválených v žádosti doložené podrobným programem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3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financování pobytu probíhá formou per diems, tzn. 177€/den (tzn. že není hrazena strava a ubytování); příjezdový a odjezdový den je krácen dle počtu hodin skutečně strávených na území ČR, příp. instituci, na základě doložených cestovních dokladů,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cestovné je financováno ve skutečné výši, avšak s ohledem na hospodárnost v přiměřené ceně (nutno doložit letenku/doklad úhrady),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financování mobility proběhne na základě Nepojmenované smlouvy, která bude připravena příslušnou fakultou; společně s touto smlouvou je nutno doložit podrobný program mobility, k ověření způsobilých aktivit,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93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výplata proběhne buď v hotovosti na pokladně nebo na účet, ale vždy až po příjezdu účastníka.</w:t>
      </w:r>
    </w:p>
    <w:p w:rsidR="00000000" w:rsidDel="00000000" w:rsidP="00000000" w:rsidRDefault="00000000" w:rsidRPr="00000000" w14:paraId="0000002B">
      <w:pPr>
        <w:spacing w:before="120" w:line="240" w:lineRule="auto"/>
        <w:rPr>
          <w:rFonts w:ascii="Times New Roman" w:cs="Times New Roman" w:eastAsia="Times New Roman" w:hAnsi="Times New Roman"/>
          <w:b w:val="1"/>
          <w:smallCaps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20" w:line="240" w:lineRule="auto"/>
        <w:rPr>
          <w:rFonts w:ascii="Times New Roman" w:cs="Times New Roman" w:eastAsia="Times New Roman" w:hAnsi="Times New Roman"/>
          <w:b w:val="1"/>
          <w:smallCaps w:val="1"/>
          <w:color w:val="00000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rtl w:val="0"/>
        </w:rPr>
        <w:t xml:space="preserve">Z PROGRAMU PPSŘ NELZE FINANCOVAT: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mobilitu, která neodpovídá pravidlům PPSŘ,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mobilitu, kterou lze hradit z jiného na to určeného programu (např. Erasmus+),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KA131 - programové země -  mobilitu lze financovat, pouze za předpokladu, že je z programu E+ nezpůsobilá.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KA171 - schválené země ve výzvě 2023 (Izrael, Kyrgyzstán, Ukrajina, Thajsko, USA), schválené země ve výzvě 2024 (Brazílie, Kanada, Kazachstán, Thajsko, Uzbekistán), od 1.7.2025 schválené země ve výzvě 2025 (žádost - Bosna a Hercegovina, Ukrajina, Malajsie, Taiwan, USA)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aktivitu zaměřenou na vědu a výzkum,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14" w:hanging="357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účast na konferencích k prezentaci vědecko-výzkumných výsledků.</w:t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5491480</wp:posOffset>
          </wp:positionH>
          <wp:positionV relativeFrom="paragraph">
            <wp:posOffset>-278126</wp:posOffset>
          </wp:positionV>
          <wp:extent cx="770890" cy="770890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890" cy="7708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-575941</wp:posOffset>
          </wp:positionH>
          <wp:positionV relativeFrom="paragraph">
            <wp:posOffset>-1266</wp:posOffset>
          </wp:positionV>
          <wp:extent cx="3600450" cy="172085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0450" cy="1720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9570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9570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95709"/>
  </w:style>
  <w:style w:type="paragraph" w:styleId="Zpat">
    <w:name w:val="footer"/>
    <w:basedOn w:val="Normln"/>
    <w:link w:val="ZpatChar"/>
    <w:uiPriority w:val="99"/>
    <w:unhideWhenUsed w:val="1"/>
    <w:rsid w:val="0089570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9570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570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5709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895709"/>
    <w:pPr>
      <w:ind w:left="720"/>
      <w:contextualSpacing w:val="1"/>
    </w:pPr>
  </w:style>
  <w:style w:type="paragraph" w:styleId="Prosttext1" w:customStyle="1">
    <w:name w:val="Prostý text1"/>
    <w:basedOn w:val="Normln"/>
    <w:rsid w:val="008957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cs="Times New Roman" w:eastAsia="Times New Roman" w:hAnsi="Courier New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957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D815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D8156F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D8156F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D8156F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D8156F"/>
    <w:rPr>
      <w:b w:val="1"/>
      <w:bCs w:val="1"/>
      <w:color w:val="00000a"/>
      <w:sz w:val="20"/>
      <w:szCs w:val="20"/>
    </w:rPr>
  </w:style>
  <w:style w:type="paragraph" w:styleId="Normlnweb">
    <w:name w:val="Normal (Web)"/>
    <w:basedOn w:val="Normln"/>
    <w:uiPriority w:val="99"/>
    <w:unhideWhenUsed w:val="1"/>
    <w:rsid w:val="00DF2C9D"/>
    <w:rPr>
      <w:rFonts w:ascii="Times New Roman" w:cs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 w:val="1"/>
    <w:rsid w:val="00E462C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720CA0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B57ACD"/>
    <w:rPr>
      <w:color w:val="800080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60.0" w:type="dxa"/>
        <w:right w:w="70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bility.tul.cz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JEEF5b09tUgcu7wleJwlKvVMA==">CgMxLjA4AHIhMTlIOXJGSHprSmVPdzZPRS1VREk4c3lEdDU3LTc4a1VG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2024-06-06T09:33:00Z</dcterms:created>
  <dc:creator>Tereza Pocová</dc:creator>
</cp:coreProperties>
</file>